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ИМЕННОЙ ВЫСОЧАЙШИЙ УКАЗ, ДАННЫЙ СЕНАТУ, «ОБ УКРЕПЛЕНИИ НАЧАЛ ВЕРОТЕРПИМОСТИ»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17 АПРЕЛЯ 1905 г.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В постоянном, по заветам Предков, общении со Святою Православною Церковью неизменно почерпая для Себя отраду и обновление сил душевных, Мы всегда имели сердечное стремление обеспечить и каждому из</w:t>
      </w:r>
      <w:proofErr w:type="gramStart"/>
      <w:r>
        <w:rPr>
          <w:rFonts w:ascii="Arial" w:hAnsi="Arial" w:cs="Arial"/>
          <w:color w:val="252525"/>
          <w:sz w:val="26"/>
          <w:szCs w:val="26"/>
        </w:rPr>
        <w:t xml:space="preserve"> Н</w:t>
      </w:r>
      <w:proofErr w:type="gramEnd"/>
      <w:r>
        <w:rPr>
          <w:rFonts w:ascii="Arial" w:hAnsi="Arial" w:cs="Arial"/>
          <w:color w:val="252525"/>
          <w:sz w:val="26"/>
          <w:szCs w:val="26"/>
        </w:rPr>
        <w:t>аших подданных свободу верования и молитв по велениям его совести. Озабочиваясь выполнением таковых намерений, Мы в число намеченных в указе 12 минувшего Декабря преобразований включили принятие действительных мер к устранению стеснений в области религии.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Ныне, рассмотрев составленные, во исполнение сего, в Комитете Министров положения и находя их отвечающими</w:t>
      </w:r>
      <w:proofErr w:type="gramStart"/>
      <w:r>
        <w:rPr>
          <w:rFonts w:ascii="Arial" w:hAnsi="Arial" w:cs="Arial"/>
          <w:color w:val="252525"/>
          <w:sz w:val="26"/>
          <w:szCs w:val="26"/>
        </w:rPr>
        <w:t xml:space="preserve"> Н</w:t>
      </w:r>
      <w:proofErr w:type="gramEnd"/>
      <w:r>
        <w:rPr>
          <w:rFonts w:ascii="Arial" w:hAnsi="Arial" w:cs="Arial"/>
          <w:color w:val="252525"/>
          <w:sz w:val="26"/>
          <w:szCs w:val="26"/>
        </w:rPr>
        <w:t>ашему заветному желанию укрепить начертанные в Основных Законах Империи Российской начала веротерпимости, Мы признали за благо таковые утвердить.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Призывая благословение Всевышнего на это дело мира и любви и уповая, что оно послужит к вящему возвеличению Православной веры, порождаемой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благодатию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Господнею, поучением, кротостью и добрыми примерами, Мы, в соответствие с этим решением</w:t>
      </w:r>
      <w:proofErr w:type="gramStart"/>
      <w:r>
        <w:rPr>
          <w:rFonts w:ascii="Arial" w:hAnsi="Arial" w:cs="Arial"/>
          <w:color w:val="252525"/>
          <w:sz w:val="26"/>
          <w:szCs w:val="26"/>
        </w:rPr>
        <w:t xml:space="preserve"> Н</w:t>
      </w:r>
      <w:proofErr w:type="gramEnd"/>
      <w:r>
        <w:rPr>
          <w:rFonts w:ascii="Arial" w:hAnsi="Arial" w:cs="Arial"/>
          <w:color w:val="252525"/>
          <w:sz w:val="26"/>
          <w:szCs w:val="26"/>
        </w:rPr>
        <w:t>ашим, повелеваем: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1) Признать, что отпадение от Православной веры в другое христианское исповедание или вероучение не подлежит преследованию и не должно влечь за собою каких-либо невыгодных в отношении личных или гражданских прав последствий, причем отпавшее по достижении совершеннолетия от Православия лицо признается принадлежащим к тому вероисповеданию или вероучению, которое оно для себя избрало.</w:t>
      </w:r>
      <w:proofErr w:type="gramEnd"/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2) Признать, что, при переходе одного из исповедующих туже самую христианскую веру супругов в другое вероисповедание, все не достигшие совершеннолетия дети остаются в прежней вере, исповедуемой другим супругом, а при таковом же переходе обоих супругов дети их до 14 лет следуют вере родителей, достигшие же сего возраста остаются в прежней своей религии.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3) Установить, в дополнение к сим правилам (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пп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. 1 и 2), что лица, числящиеся православными, но в </w:t>
      </w:r>
      <w:proofErr w:type="gramStart"/>
      <w:r>
        <w:rPr>
          <w:rFonts w:ascii="Arial" w:hAnsi="Arial" w:cs="Arial"/>
          <w:color w:val="252525"/>
          <w:sz w:val="26"/>
          <w:szCs w:val="26"/>
        </w:rPr>
        <w:t>действительности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исповедующие ту нехристианскую веру, к которой до присоединения к Православию </w:t>
      </w:r>
      <w:r>
        <w:rPr>
          <w:rFonts w:ascii="Arial" w:hAnsi="Arial" w:cs="Arial"/>
          <w:color w:val="252525"/>
          <w:sz w:val="26"/>
          <w:szCs w:val="26"/>
        </w:rPr>
        <w:lastRenderedPageBreak/>
        <w:t>принадлежали сами они или их предки, подлежат по желанию их исключению из числа православных.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4) Разрешить христианам всех исповеданий принимаемых ими на воспитание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некрещенных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подкидышей и детей неизвестных родителей крестить по обрядам своей веры.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5) Установить в законе различие между вероучениями, объемлемыми ныне наименованием «раскол», разделив их на три группы: а) старообрядческие согласия, б) сектантство и в) последователи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изуверных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учений, самая принадлежность к коим наказуема в уголовном порядке.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 xml:space="preserve">6) Признать, что постановления закона, дарующие право совершения общественных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богомолений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 определяющие положение раскола в гражданском отношении, объемлют последователей как старообрядческих согласий, так и сектантских толков; учинение же из религиозных побуждений нарушения законов подвергает виновных в том установленной законом ответственности.</w:t>
      </w:r>
      <w:proofErr w:type="gramEnd"/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7) Присвоить наименование старообрядцев, взамен ныне употребляемого названия раскольников, всем последователям толков и согласий, которые приемлют основные догматы Церкви Православной, но не признают некоторых принятых ею обрядов и отправляют свое богослужение по старопечатным книгам.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8) Признать, что сооружение молитвенных старообрядческих и сектантских домов, точно так же, как разрешение ремонта и их закрытие, должны происходить применительно к основаниям, которые существуют или будут постановлены для храмов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инославных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исповеданий.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proofErr w:type="gramStart"/>
      <w:r>
        <w:rPr>
          <w:rFonts w:ascii="Arial" w:hAnsi="Arial" w:cs="Arial"/>
          <w:color w:val="252525"/>
          <w:sz w:val="26"/>
          <w:szCs w:val="26"/>
        </w:rPr>
        <w:t>9) Присвоить духовным лицам, избираемым общинами старообрядцев и сектантов для отправления духовных треб, наименование «настоятелей и наставников», причем лица эти, по утверждении их в должностях надлежащею правительственною властью, подлежат исключению из мещан или сельских обывателей, если они к этим состояниям принадлежали, и освобождению от призыва на действительную военную службу, и именованию, с разрешения той же гражданской власти, принятым при постриге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именем, а равно допустить обозначение в выдаваемых им паспортах, в графе, указывающей род занятий,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принадлежащаго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им среди </w:t>
      </w:r>
      <w:r>
        <w:rPr>
          <w:rFonts w:ascii="Arial" w:hAnsi="Arial" w:cs="Arial"/>
          <w:color w:val="252525"/>
          <w:sz w:val="26"/>
          <w:szCs w:val="26"/>
        </w:rPr>
        <w:lastRenderedPageBreak/>
        <w:t>этого духовенства положения, без употребления, однако, православных иерархических наименований.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10) Разрешить тем же духовным лицам свободное отправление духовных треб как в частных и молитвенных домах, так и в иных потребных случаях, с воспрещением лишь надевать священнослужительское облачение, когда сие будет возбранено законом. Настоятелям и наставникам (п.9), при свидетельстве духовных завещаний, присвоить те же права, какими в сем случае пользуются все вообще духовные лица.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11) Уравнять в правах старообрядцев и сектантов с лицами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инославных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исповеданий в отношении заключения ими с православными смешанных браков.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12) Распечатать все молитвенные дома, закрытые как в административном порядке, не </w:t>
      </w:r>
      <w:proofErr w:type="gramStart"/>
      <w:r>
        <w:rPr>
          <w:rFonts w:ascii="Arial" w:hAnsi="Arial" w:cs="Arial"/>
          <w:color w:val="252525"/>
          <w:sz w:val="26"/>
          <w:szCs w:val="26"/>
        </w:rPr>
        <w:t>исключая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color w:val="252525"/>
          <w:sz w:val="26"/>
          <w:szCs w:val="26"/>
        </w:rPr>
        <w:t>случаев</w:t>
      </w:r>
      <w:proofErr w:type="gramEnd"/>
      <w:r>
        <w:rPr>
          <w:rFonts w:ascii="Arial" w:hAnsi="Arial" w:cs="Arial"/>
          <w:color w:val="252525"/>
          <w:sz w:val="26"/>
          <w:szCs w:val="26"/>
        </w:rPr>
        <w:t>, восходивших чрез Комитет Министров до Высочайшего усмотрения, так и по определениям судебных мест, кроме тех молелен, закрытие коих вызвано собственно неисполнением требований Устава Строительного.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13) Установить, в виде общего правила, что для разрешения постройки, возобновления и ремонта церквей и молитвенных домов всех христианских исповеданий необходимо: а) согласие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духовнаго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начальства подлежащего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инославного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исповедания, б) наличность необходимых денежных средств и в) соблюдение технических требований Устава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Строительнаго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. Изъятия из сего общего правила, если таковые будут признаны для отдельных местностей необходимыми,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могутъ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быть установлены только в законодательном порядке.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14) Признать, что во всякого рода учебных </w:t>
      </w:r>
      <w:proofErr w:type="gramStart"/>
      <w:r>
        <w:rPr>
          <w:rFonts w:ascii="Arial" w:hAnsi="Arial" w:cs="Arial"/>
          <w:color w:val="252525"/>
          <w:sz w:val="26"/>
          <w:szCs w:val="26"/>
        </w:rPr>
        <w:t>заведениях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в случае преподавания в них закона Божия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инославных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христианских исповеданий таковое ведется на природном языке учащихся, причем преподавание это должно быть поручаемо духовным лицам подлежащего исповедания и, только при отсутствии их, светским учителям того же исповедания.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15) Признать подлежащими пересмотру законоположения, касающиеся важнейших сторон религиозного быта лиц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магометанскоаго</w:t>
      </w:r>
      <w:proofErr w:type="spellEnd"/>
      <w:r>
        <w:rPr>
          <w:rFonts w:ascii="Arial" w:hAnsi="Arial" w:cs="Arial"/>
          <w:color w:val="252525"/>
          <w:sz w:val="26"/>
          <w:szCs w:val="26"/>
        </w:rPr>
        <w:t xml:space="preserve"> исповедания.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lastRenderedPageBreak/>
        <w:t xml:space="preserve">16) Подвергнуть обсуждению действующие узаконения о </w:t>
      </w:r>
      <w:proofErr w:type="spellStart"/>
      <w:r>
        <w:rPr>
          <w:rFonts w:ascii="Arial" w:hAnsi="Arial" w:cs="Arial"/>
          <w:color w:val="252525"/>
          <w:sz w:val="26"/>
          <w:szCs w:val="26"/>
        </w:rPr>
        <w:t>ламаитах</w:t>
      </w:r>
      <w:proofErr w:type="spellEnd"/>
      <w:r>
        <w:rPr>
          <w:rFonts w:ascii="Arial" w:hAnsi="Arial" w:cs="Arial"/>
          <w:color w:val="252525"/>
          <w:sz w:val="26"/>
          <w:szCs w:val="26"/>
        </w:rPr>
        <w:t>, возбранив впредь именование их в официальных актах идолопоклонниками и язычниками; — и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17) Независимо от этого привести в действие и остальные, утвержденные Нами сего числа положения Комитета Министров о порядке выполнения пункта шестого указа от 12 Декабря минувшего года.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К исполнению сего Правительствующий Сенат не оставит учинить надлежащее распоряжение.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 xml:space="preserve">На </w:t>
      </w:r>
      <w:proofErr w:type="gramStart"/>
      <w:r>
        <w:rPr>
          <w:rFonts w:ascii="Arial" w:hAnsi="Arial" w:cs="Arial"/>
          <w:color w:val="252525"/>
          <w:sz w:val="26"/>
          <w:szCs w:val="26"/>
        </w:rPr>
        <w:t>подлинном</w:t>
      </w:r>
      <w:proofErr w:type="gramEnd"/>
      <w:r>
        <w:rPr>
          <w:rFonts w:ascii="Arial" w:hAnsi="Arial" w:cs="Arial"/>
          <w:color w:val="252525"/>
          <w:sz w:val="26"/>
          <w:szCs w:val="26"/>
        </w:rPr>
        <w:t xml:space="preserve"> Собственною Его императорского величества рукою подписано:</w:t>
      </w:r>
    </w:p>
    <w:p w:rsidR="001A5014" w:rsidRDefault="001A5014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>
        <w:rPr>
          <w:rFonts w:ascii="Arial" w:hAnsi="Arial" w:cs="Arial"/>
          <w:color w:val="252525"/>
          <w:sz w:val="26"/>
          <w:szCs w:val="26"/>
        </w:rPr>
        <w:t>«НИКОЛАЙ»</w:t>
      </w:r>
    </w:p>
    <w:p w:rsidR="00490B49" w:rsidRPr="00490B49" w:rsidRDefault="00490B49" w:rsidP="00490B49">
      <w:pPr>
        <w:spacing w:after="0" w:line="240" w:lineRule="auto"/>
        <w:rPr>
          <w:rFonts w:ascii="Arial" w:eastAsia="Times New Roman" w:hAnsi="Arial" w:cs="Arial"/>
          <w:color w:val="252525"/>
        </w:rPr>
      </w:pPr>
      <w:r w:rsidRPr="00490B49">
        <w:rPr>
          <w:rFonts w:ascii="Arial" w:eastAsia="Times New Roman" w:hAnsi="Arial" w:cs="Arial"/>
          <w:color w:val="252525"/>
        </w:rPr>
        <w:t>Дата создания: 1905 г</w:t>
      </w:r>
      <w:proofErr w:type="gramStart"/>
      <w:r w:rsidRPr="00490B49">
        <w:rPr>
          <w:rFonts w:ascii="Arial" w:eastAsia="Times New Roman" w:hAnsi="Arial" w:cs="Arial"/>
          <w:color w:val="252525"/>
        </w:rPr>
        <w:t xml:space="preserve">.. </w:t>
      </w:r>
      <w:proofErr w:type="gramEnd"/>
      <w:r w:rsidRPr="00490B49">
        <w:rPr>
          <w:rFonts w:ascii="Arial" w:eastAsia="Times New Roman" w:hAnsi="Arial" w:cs="Arial"/>
          <w:color w:val="252525"/>
        </w:rPr>
        <w:t xml:space="preserve">Источник: Полное собрание законов Российской империи: Собр. 3-е. T.XXV: 1905. </w:t>
      </w:r>
      <w:proofErr w:type="spellStart"/>
      <w:r w:rsidRPr="00490B49">
        <w:rPr>
          <w:rFonts w:ascii="Arial" w:eastAsia="Times New Roman" w:hAnsi="Arial" w:cs="Arial"/>
          <w:color w:val="252525"/>
        </w:rPr>
        <w:t>Спб</w:t>
      </w:r>
      <w:proofErr w:type="spellEnd"/>
      <w:r w:rsidRPr="00490B49">
        <w:rPr>
          <w:rFonts w:ascii="Arial" w:eastAsia="Times New Roman" w:hAnsi="Arial" w:cs="Arial"/>
          <w:color w:val="252525"/>
        </w:rPr>
        <w:t>., 1908. С.237-238 </w:t>
      </w:r>
      <w:hyperlink r:id="rId4" w:history="1">
        <w:r w:rsidRPr="00490B49">
          <w:rPr>
            <w:rFonts w:ascii="Arial" w:eastAsia="Times New Roman" w:hAnsi="Arial" w:cs="Arial"/>
            <w:color w:val="663366"/>
          </w:rPr>
          <w:t>[1]</w:t>
        </w:r>
      </w:hyperlink>
    </w:p>
    <w:p w:rsidR="00490B49" w:rsidRDefault="00490B49" w:rsidP="001A5014">
      <w:pPr>
        <w:pStyle w:val="a3"/>
        <w:shd w:val="clear" w:color="auto" w:fill="FFFFFF"/>
        <w:spacing w:before="120" w:beforeAutospacing="0" w:after="120" w:afterAutospacing="0" w:line="408" w:lineRule="atLeast"/>
        <w:rPr>
          <w:rFonts w:ascii="Arial" w:hAnsi="Arial" w:cs="Arial"/>
          <w:color w:val="252525"/>
          <w:sz w:val="26"/>
          <w:szCs w:val="26"/>
        </w:rPr>
      </w:pPr>
      <w:r w:rsidRPr="00490B49">
        <w:rPr>
          <w:rFonts w:ascii="Arial" w:hAnsi="Arial" w:cs="Arial"/>
          <w:color w:val="252525"/>
          <w:sz w:val="26"/>
          <w:szCs w:val="26"/>
        </w:rPr>
        <w:t>http://www.miass.ru/news/ostrov_very/index.php?id=16&amp;text=220</w:t>
      </w:r>
    </w:p>
    <w:sectPr w:rsidR="00490B49" w:rsidSect="00E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1A5014"/>
    <w:rsid w:val="001A5014"/>
    <w:rsid w:val="00490B49"/>
    <w:rsid w:val="008E46C1"/>
    <w:rsid w:val="00E5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0B49"/>
  </w:style>
  <w:style w:type="character" w:styleId="a4">
    <w:name w:val="Hyperlink"/>
    <w:basedOn w:val="a0"/>
    <w:uiPriority w:val="99"/>
    <w:semiHidden/>
    <w:unhideWhenUsed/>
    <w:rsid w:val="00490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ass.ru/news/ostrov_very/index.php?id=16&amp;text=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</dc:creator>
  <cp:keywords/>
  <dc:description/>
  <cp:lastModifiedBy>Yury</cp:lastModifiedBy>
  <cp:revision>5</cp:revision>
  <dcterms:created xsi:type="dcterms:W3CDTF">2016-08-09T21:37:00Z</dcterms:created>
  <dcterms:modified xsi:type="dcterms:W3CDTF">2016-08-09T21:47:00Z</dcterms:modified>
</cp:coreProperties>
</file>